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E3A5" w14:textId="18C37768" w:rsidR="004E0E2C" w:rsidRDefault="006B4B83">
      <w:pPr>
        <w:rPr>
          <w:b/>
          <w:bCs/>
          <w:color w:val="00B0F0"/>
        </w:rPr>
      </w:pPr>
      <w:r w:rsidRPr="0054175F">
        <w:rPr>
          <w:b/>
          <w:bCs/>
          <w:color w:val="00B0F0"/>
        </w:rPr>
        <w:t xml:space="preserve">Overview of </w:t>
      </w:r>
      <w:r w:rsidR="0054175F">
        <w:rPr>
          <w:b/>
          <w:bCs/>
          <w:color w:val="00B0F0"/>
        </w:rPr>
        <w:t>Access Arrangements R</w:t>
      </w:r>
      <w:r w:rsidRPr="0054175F">
        <w:rPr>
          <w:b/>
          <w:bCs/>
          <w:color w:val="00B0F0"/>
        </w:rPr>
        <w:t>esources</w:t>
      </w:r>
    </w:p>
    <w:p w14:paraId="13A64BEC" w14:textId="77777777" w:rsidR="00663D12" w:rsidRDefault="00663D12">
      <w:pPr>
        <w:rPr>
          <w:b/>
          <w:bCs/>
          <w:color w:val="00B0F0"/>
        </w:rPr>
      </w:pPr>
    </w:p>
    <w:p w14:paraId="6B4F961F" w14:textId="7EE0BFDE" w:rsidR="00A214B4" w:rsidRDefault="00A214B4" w:rsidP="00704B51">
      <w:pPr>
        <w:jc w:val="left"/>
      </w:pPr>
      <w:r w:rsidRPr="00A214B4">
        <w:t xml:space="preserve">These resources are provided to support understanding and implementation of access arrangements. However, they are </w:t>
      </w:r>
      <w:r w:rsidRPr="00A214B4">
        <w:rPr>
          <w:b/>
          <w:bCs/>
        </w:rPr>
        <w:t xml:space="preserve">not a substitute for formal training, professional judgement, or the </w:t>
      </w:r>
      <w:r w:rsidR="00704B51">
        <w:rPr>
          <w:b/>
          <w:bCs/>
        </w:rPr>
        <w:t>JCQ regulations</w:t>
      </w:r>
      <w:r w:rsidRPr="00A214B4">
        <w:t>.</w:t>
      </w:r>
    </w:p>
    <w:p w14:paraId="65C0E59D" w14:textId="77777777" w:rsidR="00704B51" w:rsidRPr="00A214B4" w:rsidRDefault="00704B51" w:rsidP="00704B51">
      <w:pPr>
        <w:jc w:val="left"/>
      </w:pPr>
    </w:p>
    <w:p w14:paraId="673F24A9" w14:textId="4B7ACB96" w:rsidR="00A214B4" w:rsidRDefault="00A214B4" w:rsidP="00704B51">
      <w:pPr>
        <w:jc w:val="left"/>
      </w:pPr>
      <w:r w:rsidRPr="00A214B4">
        <w:t xml:space="preserve">It is the responsibility of </w:t>
      </w:r>
      <w:r w:rsidR="00704B51">
        <w:t>the p</w:t>
      </w:r>
      <w:r w:rsidR="005F6867" w:rsidRPr="005F6867">
        <w:t>rincipal</w:t>
      </w:r>
      <w:r w:rsidRPr="00A214B4">
        <w:t xml:space="preserve"> to ensure they have </w:t>
      </w:r>
      <w:r w:rsidR="005F6867" w:rsidRPr="005F6867">
        <w:t xml:space="preserve">staff (usually the SENCO or Access Arrangements Coordinator) with </w:t>
      </w:r>
      <w:r w:rsidRPr="00A214B4">
        <w:t xml:space="preserve">the appropriate knowledge, qualifications, and up-to-date training to make informed decisions regarding access arrangements. These materials are intended to </w:t>
      </w:r>
      <w:r w:rsidRPr="00A214B4">
        <w:rPr>
          <w:b/>
          <w:bCs/>
        </w:rPr>
        <w:t>complement, not replace, that expertise</w:t>
      </w:r>
      <w:r w:rsidRPr="00A214B4">
        <w:t>.</w:t>
      </w:r>
    </w:p>
    <w:p w14:paraId="089EAC38" w14:textId="77777777" w:rsidR="00091027" w:rsidRDefault="00091027" w:rsidP="00704B51">
      <w:pPr>
        <w:jc w:val="left"/>
      </w:pPr>
    </w:p>
    <w:p w14:paraId="2816300B" w14:textId="77777777" w:rsidR="00091027" w:rsidRPr="005F6867" w:rsidRDefault="00091027" w:rsidP="00091027">
      <w:pPr>
        <w:jc w:val="left"/>
      </w:pPr>
      <w:r w:rsidRPr="005F6867">
        <w:t xml:space="preserve">All resources shared here are </w:t>
      </w:r>
      <w:r w:rsidRPr="005F6867">
        <w:rPr>
          <w:b/>
          <w:bCs/>
        </w:rPr>
        <w:t>optional</w:t>
      </w:r>
      <w:r w:rsidRPr="005F6867">
        <w:t xml:space="preserve"> and there is </w:t>
      </w:r>
      <w:r w:rsidRPr="005F6867">
        <w:rPr>
          <w:b/>
          <w:bCs/>
        </w:rPr>
        <w:t>no requirement to use them</w:t>
      </w:r>
      <w:r w:rsidRPr="005F6867">
        <w:t xml:space="preserve">. Please use and </w:t>
      </w:r>
      <w:r w:rsidRPr="005F6867">
        <w:rPr>
          <w:b/>
          <w:bCs/>
        </w:rPr>
        <w:t>adapt them</w:t>
      </w:r>
      <w:r w:rsidRPr="005F6867">
        <w:t xml:space="preserve"> in any way that best supports your practice and meets the needs of your setting.</w:t>
      </w:r>
    </w:p>
    <w:p w14:paraId="13A44D17" w14:textId="77777777" w:rsidR="00704B51" w:rsidRDefault="00704B51" w:rsidP="00704B51">
      <w:pPr>
        <w:jc w:val="left"/>
      </w:pPr>
    </w:p>
    <w:p w14:paraId="7C6E5BE8" w14:textId="4FA4FB69" w:rsidR="00A214B4" w:rsidRPr="00A214B4" w:rsidRDefault="00A214B4" w:rsidP="00704B51">
      <w:pPr>
        <w:jc w:val="left"/>
      </w:pPr>
      <w:r w:rsidRPr="00A214B4">
        <w:t xml:space="preserve">If you are unsure about any aspect of access arrangements, please </w:t>
      </w:r>
      <w:r w:rsidRPr="00A214B4">
        <w:rPr>
          <w:b/>
          <w:bCs/>
        </w:rPr>
        <w:t>refer directly to JCQ guidance</w:t>
      </w:r>
      <w:r w:rsidR="00E81B7E">
        <w:rPr>
          <w:b/>
          <w:bCs/>
        </w:rPr>
        <w:t xml:space="preserve"> </w:t>
      </w:r>
      <w:hyperlink r:id="rId8" w:history="1">
        <w:r w:rsidR="00E81B7E">
          <w:rPr>
            <w:rStyle w:val="Hyperlink"/>
            <w:b/>
            <w:bCs/>
          </w:rPr>
          <w:t>here</w:t>
        </w:r>
      </w:hyperlink>
      <w:r w:rsidR="00E81B7E">
        <w:rPr>
          <w:b/>
          <w:bCs/>
        </w:rPr>
        <w:t xml:space="preserve"> </w:t>
      </w:r>
      <w:r w:rsidR="005F6867" w:rsidRPr="005F6867">
        <w:t xml:space="preserve"> and/or speak to your </w:t>
      </w:r>
      <w:r w:rsidR="005F6867" w:rsidRPr="00776C4B">
        <w:rPr>
          <w:b/>
          <w:bCs/>
        </w:rPr>
        <w:t>SEND LP</w:t>
      </w:r>
      <w:r w:rsidR="005F6867" w:rsidRPr="005F6867">
        <w:t xml:space="preserve"> for further support.</w:t>
      </w:r>
    </w:p>
    <w:p w14:paraId="1EB12619" w14:textId="77777777" w:rsidR="00F46AAA" w:rsidRDefault="00F46AAA" w:rsidP="00F46AAA">
      <w:pPr>
        <w:rPr>
          <w:b/>
          <w:bCs/>
        </w:rPr>
      </w:pPr>
    </w:p>
    <w:tbl>
      <w:tblPr>
        <w:tblStyle w:val="TableGrid"/>
        <w:tblW w:w="0" w:type="auto"/>
        <w:tblLook w:val="04A0" w:firstRow="1" w:lastRow="0" w:firstColumn="1" w:lastColumn="0" w:noHBand="0" w:noVBand="1"/>
      </w:tblPr>
      <w:tblGrid>
        <w:gridCol w:w="2405"/>
        <w:gridCol w:w="8051"/>
      </w:tblGrid>
      <w:tr w:rsidR="006B4B83" w:rsidRPr="00776C4B" w14:paraId="606A01EC" w14:textId="77777777" w:rsidTr="52095832">
        <w:tc>
          <w:tcPr>
            <w:tcW w:w="2405" w:type="dxa"/>
            <w:shd w:val="clear" w:color="auto" w:fill="00B0F0"/>
          </w:tcPr>
          <w:p w14:paraId="49EDAB40" w14:textId="5FC67C12" w:rsidR="006B4B83" w:rsidRPr="00776C4B" w:rsidRDefault="006B4B83" w:rsidP="006B4B83">
            <w:pPr>
              <w:jc w:val="left"/>
              <w:rPr>
                <w:rFonts w:ascii="Aptos" w:hAnsi="Aptos"/>
                <w:b/>
                <w:bCs/>
                <w:color w:val="FFFFFF" w:themeColor="background1"/>
              </w:rPr>
            </w:pPr>
            <w:r w:rsidRPr="00776C4B">
              <w:rPr>
                <w:rFonts w:ascii="Aptos" w:hAnsi="Aptos"/>
                <w:b/>
                <w:bCs/>
                <w:color w:val="FFFFFF" w:themeColor="background1"/>
              </w:rPr>
              <w:t>Resources</w:t>
            </w:r>
          </w:p>
        </w:tc>
        <w:tc>
          <w:tcPr>
            <w:tcW w:w="8051" w:type="dxa"/>
            <w:shd w:val="clear" w:color="auto" w:fill="00B0F0"/>
          </w:tcPr>
          <w:p w14:paraId="3DCF9A94" w14:textId="775EF504" w:rsidR="006B4B83" w:rsidRPr="00776C4B" w:rsidRDefault="00663D12" w:rsidP="006B4B83">
            <w:pPr>
              <w:jc w:val="left"/>
              <w:rPr>
                <w:rFonts w:ascii="Aptos" w:hAnsi="Aptos"/>
                <w:b/>
                <w:bCs/>
                <w:color w:val="FFFFFF" w:themeColor="background1"/>
              </w:rPr>
            </w:pPr>
            <w:r w:rsidRPr="00776C4B">
              <w:rPr>
                <w:rFonts w:ascii="Aptos" w:hAnsi="Aptos"/>
                <w:b/>
                <w:bCs/>
                <w:color w:val="FFFFFF" w:themeColor="background1"/>
              </w:rPr>
              <w:t>Guidance for use</w:t>
            </w:r>
          </w:p>
        </w:tc>
      </w:tr>
      <w:tr w:rsidR="006B4B83" w:rsidRPr="00776C4B" w14:paraId="7017FA22" w14:textId="77777777" w:rsidTr="52095832">
        <w:tc>
          <w:tcPr>
            <w:tcW w:w="2405" w:type="dxa"/>
          </w:tcPr>
          <w:p w14:paraId="74E50389" w14:textId="7D80DDC5" w:rsidR="00BD4D0E" w:rsidRPr="00776C4B" w:rsidRDefault="00F640FB" w:rsidP="00936432">
            <w:pPr>
              <w:jc w:val="left"/>
              <w:rPr>
                <w:rFonts w:ascii="Aptos" w:hAnsi="Aptos"/>
                <w:b/>
                <w:bCs/>
              </w:rPr>
            </w:pPr>
            <w:r w:rsidRPr="00776C4B">
              <w:rPr>
                <w:rFonts w:ascii="Aptos" w:hAnsi="Aptos"/>
                <w:b/>
                <w:bCs/>
              </w:rPr>
              <w:t>JCQ Regulations 2025/26: Key Changes &amp; Updates Explained</w:t>
            </w:r>
            <w:r w:rsidR="00936432" w:rsidRPr="00776C4B">
              <w:rPr>
                <w:rFonts w:ascii="Aptos" w:hAnsi="Aptos"/>
                <w:b/>
                <w:bCs/>
              </w:rPr>
              <w:t xml:space="preserve"> webinar (available </w:t>
            </w:r>
            <w:hyperlink r:id="rId9" w:history="1">
              <w:r w:rsidR="00936432" w:rsidRPr="00776C4B">
                <w:rPr>
                  <w:rStyle w:val="Hyperlink"/>
                  <w:rFonts w:ascii="Aptos" w:hAnsi="Aptos"/>
                  <w:b/>
                  <w:bCs/>
                </w:rPr>
                <w:t>here</w:t>
              </w:r>
            </w:hyperlink>
            <w:r w:rsidR="00936432" w:rsidRPr="00776C4B">
              <w:rPr>
                <w:rFonts w:ascii="Aptos" w:hAnsi="Aptos"/>
                <w:b/>
                <w:bCs/>
              </w:rPr>
              <w:t xml:space="preserve">) </w:t>
            </w:r>
          </w:p>
          <w:p w14:paraId="5DD892A0" w14:textId="5B306EF3" w:rsidR="00BD4D0E" w:rsidRPr="00776C4B" w:rsidRDefault="00BD4D0E" w:rsidP="00936432">
            <w:pPr>
              <w:jc w:val="left"/>
              <w:rPr>
                <w:rFonts w:ascii="Aptos" w:hAnsi="Aptos"/>
                <w:b/>
                <w:bCs/>
                <w:i/>
                <w:iCs/>
              </w:rPr>
            </w:pPr>
          </w:p>
        </w:tc>
        <w:tc>
          <w:tcPr>
            <w:tcW w:w="8051" w:type="dxa"/>
          </w:tcPr>
          <w:p w14:paraId="76109AB9" w14:textId="7B398BFB" w:rsidR="006B4B83" w:rsidRPr="00776C4B" w:rsidRDefault="00936432" w:rsidP="006B4B83">
            <w:pPr>
              <w:jc w:val="left"/>
              <w:rPr>
                <w:rFonts w:ascii="Aptos" w:hAnsi="Aptos"/>
              </w:rPr>
            </w:pPr>
            <w:r w:rsidRPr="00776C4B">
              <w:rPr>
                <w:rFonts w:ascii="Aptos" w:hAnsi="Aptos"/>
              </w:rPr>
              <w:t xml:space="preserve">This recorded </w:t>
            </w:r>
            <w:r w:rsidR="00BD4D0E" w:rsidRPr="00776C4B">
              <w:rPr>
                <w:rFonts w:ascii="Aptos" w:hAnsi="Aptos"/>
              </w:rPr>
              <w:t xml:space="preserve">webinar breaks down the latest updates, key changes and what they mean for schools and access arrangements assessors. </w:t>
            </w:r>
          </w:p>
          <w:p w14:paraId="3C75D297" w14:textId="77777777" w:rsidR="00BD4D0E" w:rsidRPr="00776C4B" w:rsidRDefault="00BD4D0E" w:rsidP="006B4B83">
            <w:pPr>
              <w:jc w:val="left"/>
              <w:rPr>
                <w:rFonts w:ascii="Aptos" w:hAnsi="Aptos"/>
              </w:rPr>
            </w:pPr>
          </w:p>
          <w:p w14:paraId="587DE06F" w14:textId="62C1ECB8" w:rsidR="00415F0E" w:rsidRPr="00776C4B" w:rsidRDefault="00415F0E" w:rsidP="006B4B83">
            <w:pPr>
              <w:jc w:val="left"/>
              <w:rPr>
                <w:rFonts w:ascii="Aptos" w:hAnsi="Aptos"/>
              </w:rPr>
            </w:pPr>
            <w:r w:rsidRPr="00776C4B">
              <w:rPr>
                <w:rFonts w:ascii="Aptos" w:hAnsi="Aptos"/>
                <w:i/>
                <w:iCs/>
              </w:rPr>
              <w:t>(Note: The main part of the webinar starts at 19 minutes)</w:t>
            </w:r>
          </w:p>
        </w:tc>
      </w:tr>
      <w:tr w:rsidR="00606159" w:rsidRPr="00776C4B" w14:paraId="560D5441" w14:textId="77777777" w:rsidTr="52095832">
        <w:tc>
          <w:tcPr>
            <w:tcW w:w="2405" w:type="dxa"/>
          </w:tcPr>
          <w:p w14:paraId="637D56BA" w14:textId="021E46CC" w:rsidR="00606159" w:rsidRPr="00776C4B" w:rsidRDefault="00606159" w:rsidP="00606159">
            <w:pPr>
              <w:jc w:val="left"/>
              <w:rPr>
                <w:rFonts w:ascii="Aptos" w:hAnsi="Aptos"/>
                <w:b/>
                <w:bCs/>
              </w:rPr>
            </w:pPr>
            <w:r w:rsidRPr="00776C4B">
              <w:rPr>
                <w:rFonts w:ascii="Aptos" w:hAnsi="Aptos"/>
                <w:b/>
                <w:bCs/>
              </w:rPr>
              <w:t>CPD for teachers and teaching assistants</w:t>
            </w:r>
          </w:p>
        </w:tc>
        <w:tc>
          <w:tcPr>
            <w:tcW w:w="8051" w:type="dxa"/>
          </w:tcPr>
          <w:p w14:paraId="5E8EAF50" w14:textId="77777777" w:rsidR="00606159" w:rsidRPr="00776C4B" w:rsidRDefault="00606159" w:rsidP="00606159">
            <w:pPr>
              <w:jc w:val="left"/>
              <w:rPr>
                <w:rFonts w:ascii="Aptos" w:hAnsi="Aptos"/>
              </w:rPr>
            </w:pPr>
            <w:r w:rsidRPr="00776C4B">
              <w:rPr>
                <w:rFonts w:ascii="Aptos" w:hAnsi="Aptos"/>
              </w:rPr>
              <w:t>This CPD session is designed for Principals, SENCOs, and Access Arrangement Coordinators to deliver to teaching and support staff, in response to the significant updates to JCQ regulations for the 2025–26 academic year.</w:t>
            </w:r>
          </w:p>
          <w:p w14:paraId="22E87A8A" w14:textId="77777777" w:rsidR="00606159" w:rsidRPr="00776C4B" w:rsidRDefault="00606159" w:rsidP="00606159">
            <w:pPr>
              <w:jc w:val="left"/>
              <w:rPr>
                <w:rFonts w:ascii="Aptos" w:hAnsi="Aptos"/>
              </w:rPr>
            </w:pPr>
          </w:p>
          <w:p w14:paraId="4BB1CEE2" w14:textId="77777777" w:rsidR="00606159" w:rsidRPr="00776C4B" w:rsidRDefault="00606159" w:rsidP="00606159">
            <w:pPr>
              <w:jc w:val="left"/>
              <w:rPr>
                <w:rFonts w:ascii="Aptos" w:hAnsi="Aptos"/>
              </w:rPr>
            </w:pPr>
            <w:r w:rsidRPr="00776C4B">
              <w:rPr>
                <w:rFonts w:ascii="Aptos" w:hAnsi="Aptos"/>
              </w:rPr>
              <w:t>These slides serve as a flexible template for an optional CPD session. You are encouraged to adapt the content to suit your academy’s context and use only the slides that are relevant to your audience.</w:t>
            </w:r>
          </w:p>
          <w:p w14:paraId="16E419CA" w14:textId="77777777" w:rsidR="00454157" w:rsidRPr="00776C4B" w:rsidRDefault="00454157" w:rsidP="00606159">
            <w:pPr>
              <w:jc w:val="left"/>
              <w:rPr>
                <w:rFonts w:ascii="Aptos" w:hAnsi="Aptos"/>
              </w:rPr>
            </w:pPr>
          </w:p>
          <w:p w14:paraId="7F5A8A44" w14:textId="77777777" w:rsidR="00606159" w:rsidRPr="00776C4B" w:rsidRDefault="00606159" w:rsidP="00606159">
            <w:pPr>
              <w:jc w:val="left"/>
              <w:rPr>
                <w:rFonts w:ascii="Aptos" w:hAnsi="Aptos"/>
              </w:rPr>
            </w:pPr>
            <w:r w:rsidRPr="00776C4B">
              <w:rPr>
                <w:rFonts w:ascii="Aptos" w:hAnsi="Aptos"/>
              </w:rPr>
              <w:t>Before delivery, please:</w:t>
            </w:r>
          </w:p>
          <w:p w14:paraId="4F774E8F" w14:textId="77777777" w:rsidR="005D5187" w:rsidRPr="00776C4B" w:rsidRDefault="005D5187" w:rsidP="00606159">
            <w:pPr>
              <w:numPr>
                <w:ilvl w:val="0"/>
                <w:numId w:val="1"/>
              </w:numPr>
              <w:jc w:val="left"/>
              <w:rPr>
                <w:rFonts w:ascii="Aptos" w:hAnsi="Aptos"/>
              </w:rPr>
            </w:pPr>
            <w:r w:rsidRPr="00776C4B">
              <w:rPr>
                <w:rFonts w:ascii="Aptos" w:hAnsi="Aptos"/>
              </w:rPr>
              <w:t>Tailor the language to reflect terminology familiar within your academy.</w:t>
            </w:r>
          </w:p>
          <w:p w14:paraId="2F0DA788" w14:textId="77777777" w:rsidR="005D5187" w:rsidRPr="00776C4B" w:rsidRDefault="005D5187" w:rsidP="00606159">
            <w:pPr>
              <w:numPr>
                <w:ilvl w:val="0"/>
                <w:numId w:val="1"/>
              </w:numPr>
              <w:jc w:val="left"/>
              <w:rPr>
                <w:rFonts w:ascii="Aptos" w:hAnsi="Aptos"/>
              </w:rPr>
            </w:pPr>
            <w:r w:rsidRPr="00776C4B">
              <w:rPr>
                <w:rFonts w:ascii="Aptos" w:hAnsi="Aptos"/>
              </w:rPr>
              <w:t>Refer to your academy’s specific templates and processes.</w:t>
            </w:r>
          </w:p>
          <w:p w14:paraId="39E0CF3E" w14:textId="77777777" w:rsidR="00606159" w:rsidRPr="00776C4B" w:rsidRDefault="005D5187" w:rsidP="00606159">
            <w:pPr>
              <w:numPr>
                <w:ilvl w:val="0"/>
                <w:numId w:val="1"/>
              </w:numPr>
              <w:jc w:val="left"/>
              <w:rPr>
                <w:rFonts w:ascii="Aptos" w:hAnsi="Aptos"/>
              </w:rPr>
            </w:pPr>
            <w:r w:rsidRPr="00776C4B">
              <w:rPr>
                <w:rFonts w:ascii="Aptos" w:hAnsi="Aptos"/>
              </w:rPr>
              <w:t>Pay particular attention to any content highlighted in yellow, as this will require adaptation.</w:t>
            </w:r>
          </w:p>
          <w:p w14:paraId="5A750352" w14:textId="77777777" w:rsidR="00606159" w:rsidRPr="00776C4B" w:rsidRDefault="00606159" w:rsidP="00606159">
            <w:pPr>
              <w:jc w:val="left"/>
              <w:rPr>
                <w:rFonts w:ascii="Aptos" w:hAnsi="Aptos"/>
              </w:rPr>
            </w:pPr>
          </w:p>
        </w:tc>
      </w:tr>
      <w:tr w:rsidR="00606159" w:rsidRPr="00776C4B" w14:paraId="40866945" w14:textId="77777777" w:rsidTr="52095832">
        <w:tc>
          <w:tcPr>
            <w:tcW w:w="2405" w:type="dxa"/>
          </w:tcPr>
          <w:p w14:paraId="62E3D533" w14:textId="5D3DCF5B" w:rsidR="00606159" w:rsidRPr="00776C4B" w:rsidRDefault="00606159" w:rsidP="00606159">
            <w:pPr>
              <w:jc w:val="left"/>
              <w:rPr>
                <w:rFonts w:ascii="Aptos" w:hAnsi="Aptos"/>
                <w:b/>
                <w:bCs/>
              </w:rPr>
            </w:pPr>
            <w:r w:rsidRPr="00776C4B">
              <w:rPr>
                <w:rFonts w:ascii="Aptos" w:hAnsi="Aptos"/>
                <w:b/>
                <w:bCs/>
              </w:rPr>
              <w:t xml:space="preserve">Referral form </w:t>
            </w:r>
          </w:p>
        </w:tc>
        <w:tc>
          <w:tcPr>
            <w:tcW w:w="8051" w:type="dxa"/>
          </w:tcPr>
          <w:p w14:paraId="02B70650" w14:textId="77777777" w:rsidR="00606159" w:rsidRPr="00776C4B" w:rsidRDefault="00606159" w:rsidP="00606159">
            <w:pPr>
              <w:jc w:val="left"/>
              <w:rPr>
                <w:rFonts w:ascii="Aptos" w:hAnsi="Aptos"/>
              </w:rPr>
            </w:pPr>
            <w:r w:rsidRPr="00776C4B">
              <w:rPr>
                <w:rFonts w:ascii="Aptos" w:hAnsi="Aptos"/>
              </w:rPr>
              <w:t xml:space="preserve">This form can be used by staff to raise concerns about a student who may require access arrangements. </w:t>
            </w:r>
          </w:p>
          <w:p w14:paraId="5A944C33" w14:textId="77777777" w:rsidR="00606159" w:rsidRPr="00776C4B" w:rsidRDefault="00606159" w:rsidP="00606159">
            <w:pPr>
              <w:jc w:val="left"/>
              <w:rPr>
                <w:rFonts w:ascii="Aptos" w:hAnsi="Aptos"/>
              </w:rPr>
            </w:pPr>
          </w:p>
          <w:p w14:paraId="1682A9C4" w14:textId="4279ED60" w:rsidR="00606159" w:rsidRPr="00776C4B" w:rsidRDefault="00606159" w:rsidP="00606159">
            <w:pPr>
              <w:jc w:val="left"/>
              <w:rPr>
                <w:rFonts w:ascii="Aptos" w:hAnsi="Aptos"/>
              </w:rPr>
            </w:pPr>
            <w:r w:rsidRPr="00776C4B">
              <w:rPr>
                <w:rFonts w:ascii="Aptos" w:hAnsi="Aptos"/>
              </w:rPr>
              <w:t xml:space="preserve">It is an optional template and can be adapted. </w:t>
            </w:r>
          </w:p>
          <w:p w14:paraId="5976E044" w14:textId="73ED5E0C" w:rsidR="00606159" w:rsidRPr="00776C4B" w:rsidRDefault="00606159" w:rsidP="00606159">
            <w:pPr>
              <w:jc w:val="left"/>
              <w:rPr>
                <w:rFonts w:ascii="Aptos" w:hAnsi="Aptos"/>
              </w:rPr>
            </w:pPr>
          </w:p>
        </w:tc>
      </w:tr>
      <w:tr w:rsidR="00606159" w:rsidRPr="00776C4B" w14:paraId="388994DE" w14:textId="77777777" w:rsidTr="52095832">
        <w:tc>
          <w:tcPr>
            <w:tcW w:w="2405" w:type="dxa"/>
          </w:tcPr>
          <w:p w14:paraId="7F814A5D" w14:textId="27631A6B" w:rsidR="00606159" w:rsidRPr="00776C4B" w:rsidRDefault="00606159" w:rsidP="00606159">
            <w:pPr>
              <w:jc w:val="left"/>
              <w:rPr>
                <w:rFonts w:ascii="Aptos" w:hAnsi="Aptos"/>
                <w:b/>
                <w:bCs/>
              </w:rPr>
            </w:pPr>
            <w:r w:rsidRPr="00776C4B">
              <w:rPr>
                <w:rFonts w:ascii="Aptos" w:hAnsi="Aptos"/>
                <w:b/>
                <w:bCs/>
              </w:rPr>
              <w:t>Teacher feedback on classroom practice</w:t>
            </w:r>
          </w:p>
        </w:tc>
        <w:tc>
          <w:tcPr>
            <w:tcW w:w="8051" w:type="dxa"/>
          </w:tcPr>
          <w:p w14:paraId="3E89C980" w14:textId="77777777" w:rsidR="00606159" w:rsidRPr="00776C4B" w:rsidRDefault="00606159" w:rsidP="00606159">
            <w:pPr>
              <w:jc w:val="left"/>
              <w:rPr>
                <w:rFonts w:ascii="Aptos" w:hAnsi="Aptos"/>
              </w:rPr>
            </w:pPr>
            <w:r w:rsidRPr="00776C4B">
              <w:rPr>
                <w:rFonts w:ascii="Aptos" w:hAnsi="Aptos"/>
              </w:rPr>
              <w:t>This form can be used by staff to provide supporting evidence of a student’s difficulties (evidence of need), as well as the support they routinely receive in the classroom (normal way of working).</w:t>
            </w:r>
          </w:p>
          <w:p w14:paraId="4CA0E4BD" w14:textId="77777777" w:rsidR="00606159" w:rsidRPr="00776C4B" w:rsidRDefault="00606159" w:rsidP="00606159">
            <w:pPr>
              <w:jc w:val="left"/>
              <w:rPr>
                <w:rFonts w:ascii="Aptos" w:hAnsi="Aptos"/>
              </w:rPr>
            </w:pPr>
            <w:r w:rsidRPr="00776C4B">
              <w:rPr>
                <w:rFonts w:ascii="Aptos" w:hAnsi="Aptos"/>
              </w:rPr>
              <w:br/>
              <w:t>It is a flexible resource and may be adapted to suit individual contexts.</w:t>
            </w:r>
          </w:p>
          <w:p w14:paraId="1E0ECADF" w14:textId="0E8C7C50" w:rsidR="00606159" w:rsidRPr="00776C4B" w:rsidRDefault="00606159" w:rsidP="00606159">
            <w:pPr>
              <w:jc w:val="left"/>
              <w:rPr>
                <w:rFonts w:ascii="Aptos" w:hAnsi="Aptos"/>
              </w:rPr>
            </w:pPr>
          </w:p>
        </w:tc>
      </w:tr>
      <w:tr w:rsidR="00606159" w:rsidRPr="00776C4B" w14:paraId="215A9D32" w14:textId="77777777" w:rsidTr="52095832">
        <w:tc>
          <w:tcPr>
            <w:tcW w:w="2405" w:type="dxa"/>
          </w:tcPr>
          <w:p w14:paraId="1120E9E9" w14:textId="418E8DD9" w:rsidR="00606159" w:rsidRPr="00776C4B" w:rsidRDefault="00606159" w:rsidP="00606159">
            <w:pPr>
              <w:jc w:val="left"/>
              <w:rPr>
                <w:rFonts w:ascii="Aptos" w:hAnsi="Aptos"/>
                <w:b/>
                <w:bCs/>
              </w:rPr>
            </w:pPr>
            <w:r w:rsidRPr="00776C4B">
              <w:rPr>
                <w:rFonts w:ascii="Aptos" w:hAnsi="Aptos"/>
                <w:b/>
                <w:bCs/>
              </w:rPr>
              <w:lastRenderedPageBreak/>
              <w:t>Feedback from internal assessments and mocks</w:t>
            </w:r>
          </w:p>
        </w:tc>
        <w:tc>
          <w:tcPr>
            <w:tcW w:w="8051" w:type="dxa"/>
          </w:tcPr>
          <w:p w14:paraId="295DFFC8" w14:textId="4001E891" w:rsidR="00606159" w:rsidRPr="00776C4B" w:rsidRDefault="00606159" w:rsidP="00606159">
            <w:pPr>
              <w:jc w:val="left"/>
              <w:rPr>
                <w:rFonts w:ascii="Aptos" w:hAnsi="Aptos"/>
              </w:rPr>
            </w:pPr>
            <w:r w:rsidRPr="00776C4B">
              <w:rPr>
                <w:rFonts w:ascii="Aptos" w:hAnsi="Aptos"/>
              </w:rPr>
              <w:t xml:space="preserve">This form can be used by staff to provide supporting evidence following internal assessments and mocks. </w:t>
            </w:r>
          </w:p>
          <w:p w14:paraId="162A549B" w14:textId="77777777" w:rsidR="00606159" w:rsidRPr="00776C4B" w:rsidRDefault="00606159" w:rsidP="00606159">
            <w:pPr>
              <w:jc w:val="left"/>
              <w:rPr>
                <w:rFonts w:ascii="Aptos" w:hAnsi="Aptos"/>
              </w:rPr>
            </w:pPr>
            <w:r w:rsidRPr="00776C4B">
              <w:rPr>
                <w:rFonts w:ascii="Aptos" w:hAnsi="Aptos"/>
              </w:rPr>
              <w:br/>
              <w:t>It is a flexible resource and may be adapted to suit individual contexts.</w:t>
            </w:r>
          </w:p>
          <w:p w14:paraId="36BA3A48" w14:textId="77777777" w:rsidR="00606159" w:rsidRPr="00776C4B" w:rsidRDefault="00606159" w:rsidP="00606159">
            <w:pPr>
              <w:jc w:val="left"/>
              <w:rPr>
                <w:rFonts w:ascii="Aptos" w:hAnsi="Aptos"/>
              </w:rPr>
            </w:pPr>
          </w:p>
        </w:tc>
      </w:tr>
      <w:tr w:rsidR="00606159" w:rsidRPr="00776C4B" w14:paraId="0CA34E78" w14:textId="77777777" w:rsidTr="52095832">
        <w:tc>
          <w:tcPr>
            <w:tcW w:w="2405" w:type="dxa"/>
          </w:tcPr>
          <w:p w14:paraId="2C4D541E" w14:textId="686E68FD" w:rsidR="00606159" w:rsidRPr="00776C4B" w:rsidRDefault="00606159" w:rsidP="00606159">
            <w:pPr>
              <w:jc w:val="left"/>
              <w:rPr>
                <w:rFonts w:ascii="Aptos" w:hAnsi="Aptos"/>
                <w:b/>
                <w:bCs/>
              </w:rPr>
            </w:pPr>
            <w:r w:rsidRPr="00776C4B">
              <w:rPr>
                <w:rFonts w:ascii="Aptos" w:hAnsi="Aptos"/>
                <w:b/>
                <w:bCs/>
              </w:rPr>
              <w:t>Student voice</w:t>
            </w:r>
          </w:p>
        </w:tc>
        <w:tc>
          <w:tcPr>
            <w:tcW w:w="8051" w:type="dxa"/>
          </w:tcPr>
          <w:p w14:paraId="623406B9" w14:textId="77777777" w:rsidR="00606159" w:rsidRPr="00776C4B" w:rsidRDefault="00606159" w:rsidP="00606159">
            <w:pPr>
              <w:jc w:val="left"/>
              <w:rPr>
                <w:rFonts w:ascii="Aptos" w:hAnsi="Aptos"/>
              </w:rPr>
            </w:pPr>
            <w:r w:rsidRPr="00776C4B">
              <w:rPr>
                <w:rFonts w:ascii="Aptos" w:hAnsi="Aptos"/>
              </w:rPr>
              <w:t>You do not necessarily need to use a dedicated form to capture student voice. This can be gathered through direct discussion with the student and recorded in Part 1 of Form 8 or Form 9.</w:t>
            </w:r>
          </w:p>
          <w:p w14:paraId="55BEA7D0" w14:textId="77777777" w:rsidR="00606159" w:rsidRPr="00776C4B" w:rsidRDefault="00606159" w:rsidP="00606159">
            <w:pPr>
              <w:jc w:val="left"/>
              <w:rPr>
                <w:rFonts w:ascii="Aptos" w:hAnsi="Aptos"/>
              </w:rPr>
            </w:pPr>
          </w:p>
          <w:p w14:paraId="00F2DB5A" w14:textId="77777777" w:rsidR="00606159" w:rsidRPr="00776C4B" w:rsidRDefault="00606159" w:rsidP="00606159">
            <w:pPr>
              <w:jc w:val="left"/>
              <w:rPr>
                <w:rFonts w:ascii="Aptos" w:hAnsi="Aptos"/>
              </w:rPr>
            </w:pPr>
            <w:r w:rsidRPr="00776C4B">
              <w:rPr>
                <w:rFonts w:ascii="Aptos" w:hAnsi="Aptos"/>
              </w:rPr>
              <w:t>The attached template is an optional resource for those who prefer a more structured or formal approach to documenting student voice.</w:t>
            </w:r>
          </w:p>
          <w:p w14:paraId="2DA0CB48" w14:textId="523BFBB4" w:rsidR="00606159" w:rsidRPr="00776C4B" w:rsidRDefault="00606159" w:rsidP="00606159">
            <w:pPr>
              <w:jc w:val="left"/>
              <w:rPr>
                <w:rFonts w:ascii="Aptos" w:hAnsi="Aptos"/>
              </w:rPr>
            </w:pPr>
          </w:p>
        </w:tc>
      </w:tr>
      <w:tr w:rsidR="00606159" w:rsidRPr="00776C4B" w14:paraId="295C38F8" w14:textId="77777777" w:rsidTr="52095832">
        <w:tc>
          <w:tcPr>
            <w:tcW w:w="2405" w:type="dxa"/>
          </w:tcPr>
          <w:p w14:paraId="194B2C9F" w14:textId="77777777" w:rsidR="00606159" w:rsidRPr="00776C4B" w:rsidRDefault="00606159" w:rsidP="00606159">
            <w:pPr>
              <w:jc w:val="left"/>
              <w:rPr>
                <w:rFonts w:ascii="Aptos" w:hAnsi="Aptos"/>
                <w:b/>
                <w:bCs/>
              </w:rPr>
            </w:pPr>
            <w:r w:rsidRPr="00776C4B">
              <w:rPr>
                <w:rFonts w:ascii="Aptos" w:hAnsi="Aptos"/>
                <w:b/>
                <w:bCs/>
              </w:rPr>
              <w:t>Annual schedule</w:t>
            </w:r>
          </w:p>
          <w:p w14:paraId="49EEDA66" w14:textId="4D529871" w:rsidR="00606159" w:rsidRPr="00776C4B" w:rsidRDefault="00606159" w:rsidP="00606159">
            <w:pPr>
              <w:jc w:val="left"/>
              <w:rPr>
                <w:rFonts w:ascii="Aptos" w:hAnsi="Aptos"/>
                <w:i/>
                <w:iCs/>
              </w:rPr>
            </w:pPr>
          </w:p>
        </w:tc>
        <w:tc>
          <w:tcPr>
            <w:tcW w:w="8051" w:type="dxa"/>
          </w:tcPr>
          <w:p w14:paraId="306BF22C" w14:textId="77777777" w:rsidR="00454157" w:rsidRPr="00776C4B" w:rsidRDefault="00454157" w:rsidP="00454157">
            <w:pPr>
              <w:jc w:val="left"/>
              <w:rPr>
                <w:rFonts w:ascii="Aptos" w:hAnsi="Aptos"/>
              </w:rPr>
            </w:pPr>
            <w:r w:rsidRPr="00776C4B">
              <w:rPr>
                <w:rFonts w:ascii="Aptos" w:hAnsi="Aptos"/>
              </w:rPr>
              <w:t>This document outlines the access arrangements process across the academic year, organised by year group.</w:t>
            </w:r>
          </w:p>
          <w:p w14:paraId="5D10E7CF" w14:textId="77777777" w:rsidR="00CE3C32" w:rsidRPr="00776C4B" w:rsidRDefault="00CE3C32" w:rsidP="00454157">
            <w:pPr>
              <w:jc w:val="left"/>
              <w:rPr>
                <w:rFonts w:ascii="Aptos" w:hAnsi="Aptos"/>
              </w:rPr>
            </w:pPr>
          </w:p>
          <w:p w14:paraId="38363FA7" w14:textId="77777777" w:rsidR="00454157" w:rsidRPr="00776C4B" w:rsidRDefault="00454157" w:rsidP="00454157">
            <w:pPr>
              <w:jc w:val="left"/>
              <w:rPr>
                <w:rFonts w:ascii="Aptos" w:hAnsi="Aptos"/>
              </w:rPr>
            </w:pPr>
            <w:r w:rsidRPr="00776C4B">
              <w:rPr>
                <w:rFonts w:ascii="Aptos" w:hAnsi="Aptos"/>
              </w:rPr>
              <w:t>The annual calendar template is flexible and can be adapted to align with wider academy systems and timelines.</w:t>
            </w:r>
          </w:p>
          <w:p w14:paraId="6B3D4A67" w14:textId="4E7D6EC6" w:rsidR="00606159" w:rsidRPr="00776C4B" w:rsidRDefault="00606159" w:rsidP="00606159">
            <w:pPr>
              <w:jc w:val="left"/>
              <w:rPr>
                <w:rFonts w:ascii="Aptos" w:hAnsi="Aptos"/>
              </w:rPr>
            </w:pPr>
          </w:p>
        </w:tc>
      </w:tr>
      <w:tr w:rsidR="00606159" w:rsidRPr="00776C4B" w14:paraId="766E246B" w14:textId="77777777" w:rsidTr="52095832">
        <w:tc>
          <w:tcPr>
            <w:tcW w:w="2405" w:type="dxa"/>
          </w:tcPr>
          <w:p w14:paraId="60E0C475" w14:textId="77777777" w:rsidR="00606159" w:rsidRPr="00776C4B" w:rsidRDefault="00606159" w:rsidP="00606159">
            <w:pPr>
              <w:jc w:val="left"/>
              <w:rPr>
                <w:rFonts w:ascii="Aptos" w:hAnsi="Aptos"/>
                <w:b/>
                <w:bCs/>
              </w:rPr>
            </w:pPr>
            <w:r w:rsidRPr="00776C4B">
              <w:rPr>
                <w:rFonts w:ascii="Aptos" w:hAnsi="Aptos"/>
                <w:b/>
                <w:bCs/>
              </w:rPr>
              <w:t>Tracker</w:t>
            </w:r>
          </w:p>
          <w:p w14:paraId="5C5B4D37" w14:textId="74AEFBF1" w:rsidR="00606159" w:rsidRPr="00776C4B" w:rsidRDefault="00606159" w:rsidP="00606159">
            <w:pPr>
              <w:jc w:val="left"/>
              <w:rPr>
                <w:rFonts w:ascii="Aptos" w:hAnsi="Aptos"/>
                <w:i/>
                <w:iCs/>
              </w:rPr>
            </w:pPr>
          </w:p>
        </w:tc>
        <w:tc>
          <w:tcPr>
            <w:tcW w:w="8051" w:type="dxa"/>
          </w:tcPr>
          <w:p w14:paraId="56D05B2F" w14:textId="54952AE2" w:rsidR="00CC7C5F" w:rsidRPr="00776C4B" w:rsidRDefault="00CC7C5F" w:rsidP="00CC7C5F">
            <w:pPr>
              <w:jc w:val="left"/>
              <w:rPr>
                <w:rFonts w:ascii="Aptos" w:hAnsi="Aptos"/>
              </w:rPr>
            </w:pPr>
            <w:r w:rsidRPr="00776C4B">
              <w:rPr>
                <w:rFonts w:ascii="Aptos" w:hAnsi="Aptos"/>
              </w:rPr>
              <w:t>This document provides an overview of the access arrangements process, covering key stages such as identification, assessment, evidence requirements, and application procedures. It is designed to support effective monitoring and tracking throughout the academic year.</w:t>
            </w:r>
          </w:p>
          <w:p w14:paraId="73F1ED07" w14:textId="77777777" w:rsidR="00CC7C5F" w:rsidRPr="00776C4B" w:rsidRDefault="00CC7C5F" w:rsidP="00CC7C5F">
            <w:pPr>
              <w:jc w:val="left"/>
              <w:rPr>
                <w:rFonts w:ascii="Aptos" w:hAnsi="Aptos"/>
              </w:rPr>
            </w:pPr>
          </w:p>
          <w:p w14:paraId="12470A3F" w14:textId="77777777" w:rsidR="00CC7C5F" w:rsidRPr="00776C4B" w:rsidRDefault="00CC7C5F" w:rsidP="00CC7C5F">
            <w:pPr>
              <w:jc w:val="left"/>
              <w:rPr>
                <w:rFonts w:ascii="Aptos" w:hAnsi="Aptos"/>
              </w:rPr>
            </w:pPr>
            <w:r w:rsidRPr="00776C4B">
              <w:rPr>
                <w:rFonts w:ascii="Aptos" w:hAnsi="Aptos"/>
              </w:rPr>
              <w:t>The format is fully adaptable and can be tailored to suit your specific working practices.</w:t>
            </w:r>
          </w:p>
          <w:p w14:paraId="35AE2FD7" w14:textId="6193C270" w:rsidR="0085440B" w:rsidRPr="00776C4B" w:rsidRDefault="0085440B" w:rsidP="00606159">
            <w:pPr>
              <w:jc w:val="left"/>
              <w:rPr>
                <w:rFonts w:ascii="Aptos" w:hAnsi="Aptos"/>
              </w:rPr>
            </w:pPr>
          </w:p>
        </w:tc>
      </w:tr>
      <w:tr w:rsidR="005926AC" w:rsidRPr="00776C4B" w14:paraId="513C43E9" w14:textId="77777777" w:rsidTr="52095832">
        <w:tc>
          <w:tcPr>
            <w:tcW w:w="2405" w:type="dxa"/>
          </w:tcPr>
          <w:p w14:paraId="77C77533" w14:textId="77777777" w:rsidR="005926AC" w:rsidRDefault="005926AC" w:rsidP="00606159">
            <w:pPr>
              <w:jc w:val="left"/>
              <w:rPr>
                <w:rFonts w:ascii="Aptos" w:hAnsi="Aptos"/>
                <w:b/>
                <w:bCs/>
              </w:rPr>
            </w:pPr>
            <w:r>
              <w:rPr>
                <w:rFonts w:ascii="Aptos" w:hAnsi="Aptos"/>
                <w:b/>
                <w:bCs/>
              </w:rPr>
              <w:t xml:space="preserve">Other templates shared by academies </w:t>
            </w:r>
          </w:p>
          <w:p w14:paraId="5D47C69C" w14:textId="5A2E3D6D" w:rsidR="00C9479A" w:rsidRPr="00776C4B" w:rsidRDefault="00C9479A" w:rsidP="00606159">
            <w:pPr>
              <w:jc w:val="left"/>
              <w:rPr>
                <w:rFonts w:ascii="Aptos" w:hAnsi="Aptos"/>
                <w:b/>
                <w:bCs/>
              </w:rPr>
            </w:pPr>
          </w:p>
        </w:tc>
        <w:tc>
          <w:tcPr>
            <w:tcW w:w="8051" w:type="dxa"/>
          </w:tcPr>
          <w:p w14:paraId="259B4895" w14:textId="7E37C09A" w:rsidR="005926AC" w:rsidRPr="00776C4B" w:rsidRDefault="00C9479A" w:rsidP="00CC7C5F">
            <w:pPr>
              <w:jc w:val="left"/>
              <w:rPr>
                <w:rFonts w:ascii="Aptos" w:hAnsi="Aptos"/>
              </w:rPr>
            </w:pPr>
            <w:r w:rsidRPr="00C9479A">
              <w:rPr>
                <w:rFonts w:ascii="Aptos" w:hAnsi="Aptos"/>
              </w:rPr>
              <w:t xml:space="preserve">This folder contains a range of templates generously shared by </w:t>
            </w:r>
            <w:r>
              <w:rPr>
                <w:rFonts w:ascii="Aptos" w:hAnsi="Aptos"/>
              </w:rPr>
              <w:t>various</w:t>
            </w:r>
            <w:r w:rsidRPr="00C9479A">
              <w:rPr>
                <w:rFonts w:ascii="Aptos" w:hAnsi="Aptos"/>
              </w:rPr>
              <w:t xml:space="preserve"> academies. You may find them useful to adapt or customise to suit your own setting and needs.</w:t>
            </w:r>
            <w:r>
              <w:rPr>
                <w:rFonts w:ascii="Aptos" w:hAnsi="Aptos"/>
              </w:rPr>
              <w:t xml:space="preserve"> </w:t>
            </w:r>
          </w:p>
        </w:tc>
      </w:tr>
    </w:tbl>
    <w:p w14:paraId="56346541" w14:textId="77777777" w:rsidR="006B4B83" w:rsidRDefault="006B4B83" w:rsidP="006B4B83">
      <w:pPr>
        <w:jc w:val="left"/>
      </w:pPr>
    </w:p>
    <w:sectPr w:rsidR="006B4B83" w:rsidSect="003B1A2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6D89"/>
    <w:multiLevelType w:val="hybridMultilevel"/>
    <w:tmpl w:val="C3BA5BC2"/>
    <w:lvl w:ilvl="0" w:tplc="92BA879A">
      <w:start w:val="1"/>
      <w:numFmt w:val="bullet"/>
      <w:lvlText w:val="•"/>
      <w:lvlJc w:val="left"/>
      <w:pPr>
        <w:tabs>
          <w:tab w:val="num" w:pos="720"/>
        </w:tabs>
        <w:ind w:left="720" w:hanging="360"/>
      </w:pPr>
      <w:rPr>
        <w:rFonts w:ascii="Arial" w:hAnsi="Arial" w:hint="default"/>
      </w:rPr>
    </w:lvl>
    <w:lvl w:ilvl="1" w:tplc="BFA0E3BE" w:tentative="1">
      <w:start w:val="1"/>
      <w:numFmt w:val="bullet"/>
      <w:lvlText w:val="•"/>
      <w:lvlJc w:val="left"/>
      <w:pPr>
        <w:tabs>
          <w:tab w:val="num" w:pos="1440"/>
        </w:tabs>
        <w:ind w:left="1440" w:hanging="360"/>
      </w:pPr>
      <w:rPr>
        <w:rFonts w:ascii="Arial" w:hAnsi="Arial" w:hint="default"/>
      </w:rPr>
    </w:lvl>
    <w:lvl w:ilvl="2" w:tplc="7E3AFBA8" w:tentative="1">
      <w:start w:val="1"/>
      <w:numFmt w:val="bullet"/>
      <w:lvlText w:val="•"/>
      <w:lvlJc w:val="left"/>
      <w:pPr>
        <w:tabs>
          <w:tab w:val="num" w:pos="2160"/>
        </w:tabs>
        <w:ind w:left="2160" w:hanging="360"/>
      </w:pPr>
      <w:rPr>
        <w:rFonts w:ascii="Arial" w:hAnsi="Arial" w:hint="default"/>
      </w:rPr>
    </w:lvl>
    <w:lvl w:ilvl="3" w:tplc="25B4E8EC" w:tentative="1">
      <w:start w:val="1"/>
      <w:numFmt w:val="bullet"/>
      <w:lvlText w:val="•"/>
      <w:lvlJc w:val="left"/>
      <w:pPr>
        <w:tabs>
          <w:tab w:val="num" w:pos="2880"/>
        </w:tabs>
        <w:ind w:left="2880" w:hanging="360"/>
      </w:pPr>
      <w:rPr>
        <w:rFonts w:ascii="Arial" w:hAnsi="Arial" w:hint="default"/>
      </w:rPr>
    </w:lvl>
    <w:lvl w:ilvl="4" w:tplc="3E4C7B68" w:tentative="1">
      <w:start w:val="1"/>
      <w:numFmt w:val="bullet"/>
      <w:lvlText w:val="•"/>
      <w:lvlJc w:val="left"/>
      <w:pPr>
        <w:tabs>
          <w:tab w:val="num" w:pos="3600"/>
        </w:tabs>
        <w:ind w:left="3600" w:hanging="360"/>
      </w:pPr>
      <w:rPr>
        <w:rFonts w:ascii="Arial" w:hAnsi="Arial" w:hint="default"/>
      </w:rPr>
    </w:lvl>
    <w:lvl w:ilvl="5" w:tplc="C44630C8" w:tentative="1">
      <w:start w:val="1"/>
      <w:numFmt w:val="bullet"/>
      <w:lvlText w:val="•"/>
      <w:lvlJc w:val="left"/>
      <w:pPr>
        <w:tabs>
          <w:tab w:val="num" w:pos="4320"/>
        </w:tabs>
        <w:ind w:left="4320" w:hanging="360"/>
      </w:pPr>
      <w:rPr>
        <w:rFonts w:ascii="Arial" w:hAnsi="Arial" w:hint="default"/>
      </w:rPr>
    </w:lvl>
    <w:lvl w:ilvl="6" w:tplc="CC0457EC" w:tentative="1">
      <w:start w:val="1"/>
      <w:numFmt w:val="bullet"/>
      <w:lvlText w:val="•"/>
      <w:lvlJc w:val="left"/>
      <w:pPr>
        <w:tabs>
          <w:tab w:val="num" w:pos="5040"/>
        </w:tabs>
        <w:ind w:left="5040" w:hanging="360"/>
      </w:pPr>
      <w:rPr>
        <w:rFonts w:ascii="Arial" w:hAnsi="Arial" w:hint="default"/>
      </w:rPr>
    </w:lvl>
    <w:lvl w:ilvl="7" w:tplc="70BEC6A0" w:tentative="1">
      <w:start w:val="1"/>
      <w:numFmt w:val="bullet"/>
      <w:lvlText w:val="•"/>
      <w:lvlJc w:val="left"/>
      <w:pPr>
        <w:tabs>
          <w:tab w:val="num" w:pos="5760"/>
        </w:tabs>
        <w:ind w:left="5760" w:hanging="360"/>
      </w:pPr>
      <w:rPr>
        <w:rFonts w:ascii="Arial" w:hAnsi="Arial" w:hint="default"/>
      </w:rPr>
    </w:lvl>
    <w:lvl w:ilvl="8" w:tplc="64441EA2" w:tentative="1">
      <w:start w:val="1"/>
      <w:numFmt w:val="bullet"/>
      <w:lvlText w:val="•"/>
      <w:lvlJc w:val="left"/>
      <w:pPr>
        <w:tabs>
          <w:tab w:val="num" w:pos="6480"/>
        </w:tabs>
        <w:ind w:left="6480" w:hanging="360"/>
      </w:pPr>
      <w:rPr>
        <w:rFonts w:ascii="Arial" w:hAnsi="Arial" w:hint="default"/>
      </w:rPr>
    </w:lvl>
  </w:abstractNum>
  <w:num w:numId="1" w16cid:durableId="1276785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BD2"/>
    <w:rsid w:val="00081A71"/>
    <w:rsid w:val="00091027"/>
    <w:rsid w:val="000D770C"/>
    <w:rsid w:val="00226768"/>
    <w:rsid w:val="0031333B"/>
    <w:rsid w:val="003B1A21"/>
    <w:rsid w:val="00415F0E"/>
    <w:rsid w:val="00454157"/>
    <w:rsid w:val="004E0E2C"/>
    <w:rsid w:val="0054175F"/>
    <w:rsid w:val="005926AC"/>
    <w:rsid w:val="005D5187"/>
    <w:rsid w:val="005F0E7B"/>
    <w:rsid w:val="005F6867"/>
    <w:rsid w:val="00606159"/>
    <w:rsid w:val="0065145D"/>
    <w:rsid w:val="00663D12"/>
    <w:rsid w:val="006B4B83"/>
    <w:rsid w:val="00704B51"/>
    <w:rsid w:val="007277DA"/>
    <w:rsid w:val="00776C4B"/>
    <w:rsid w:val="0085440B"/>
    <w:rsid w:val="00936432"/>
    <w:rsid w:val="009423A4"/>
    <w:rsid w:val="00A15C70"/>
    <w:rsid w:val="00A214B4"/>
    <w:rsid w:val="00A6537A"/>
    <w:rsid w:val="00A71CFF"/>
    <w:rsid w:val="00AA58F2"/>
    <w:rsid w:val="00AB51BA"/>
    <w:rsid w:val="00B11BD2"/>
    <w:rsid w:val="00BD4D0E"/>
    <w:rsid w:val="00C9479A"/>
    <w:rsid w:val="00CC7C5F"/>
    <w:rsid w:val="00CE3C32"/>
    <w:rsid w:val="00D15EB3"/>
    <w:rsid w:val="00E17D74"/>
    <w:rsid w:val="00E81B7E"/>
    <w:rsid w:val="00E87990"/>
    <w:rsid w:val="00F46AAA"/>
    <w:rsid w:val="00F640FB"/>
    <w:rsid w:val="00F95A1F"/>
    <w:rsid w:val="00FB46EB"/>
    <w:rsid w:val="52095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2244"/>
  <w15:chartTrackingRefBased/>
  <w15:docId w15:val="{ECEDD3EA-EF9E-48E4-A3A4-D04DD0B6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1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1B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B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B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B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B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B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B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B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B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B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B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B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BD2"/>
    <w:rPr>
      <w:rFonts w:eastAsiaTheme="majorEastAsia" w:cstheme="majorBidi"/>
      <w:color w:val="272727" w:themeColor="text1" w:themeTint="D8"/>
    </w:rPr>
  </w:style>
  <w:style w:type="paragraph" w:styleId="Title">
    <w:name w:val="Title"/>
    <w:basedOn w:val="Normal"/>
    <w:next w:val="Normal"/>
    <w:link w:val="TitleChar"/>
    <w:uiPriority w:val="10"/>
    <w:qFormat/>
    <w:rsid w:val="00B11B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BD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BD2"/>
    <w:pPr>
      <w:spacing w:before="160" w:after="160"/>
    </w:pPr>
    <w:rPr>
      <w:i/>
      <w:iCs/>
      <w:color w:val="404040" w:themeColor="text1" w:themeTint="BF"/>
    </w:rPr>
  </w:style>
  <w:style w:type="character" w:customStyle="1" w:styleId="QuoteChar">
    <w:name w:val="Quote Char"/>
    <w:basedOn w:val="DefaultParagraphFont"/>
    <w:link w:val="Quote"/>
    <w:uiPriority w:val="29"/>
    <w:rsid w:val="00B11BD2"/>
    <w:rPr>
      <w:i/>
      <w:iCs/>
      <w:color w:val="404040" w:themeColor="text1" w:themeTint="BF"/>
    </w:rPr>
  </w:style>
  <w:style w:type="paragraph" w:styleId="ListParagraph">
    <w:name w:val="List Paragraph"/>
    <w:basedOn w:val="Normal"/>
    <w:uiPriority w:val="34"/>
    <w:qFormat/>
    <w:rsid w:val="00B11BD2"/>
    <w:pPr>
      <w:ind w:left="720"/>
      <w:contextualSpacing/>
    </w:pPr>
  </w:style>
  <w:style w:type="character" w:styleId="IntenseEmphasis">
    <w:name w:val="Intense Emphasis"/>
    <w:basedOn w:val="DefaultParagraphFont"/>
    <w:uiPriority w:val="21"/>
    <w:qFormat/>
    <w:rsid w:val="00B11BD2"/>
    <w:rPr>
      <w:i/>
      <w:iCs/>
      <w:color w:val="0F4761" w:themeColor="accent1" w:themeShade="BF"/>
    </w:rPr>
  </w:style>
  <w:style w:type="paragraph" w:styleId="IntenseQuote">
    <w:name w:val="Intense Quote"/>
    <w:basedOn w:val="Normal"/>
    <w:next w:val="Normal"/>
    <w:link w:val="IntenseQuoteChar"/>
    <w:uiPriority w:val="30"/>
    <w:qFormat/>
    <w:rsid w:val="00B11BD2"/>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B11BD2"/>
    <w:rPr>
      <w:i/>
      <w:iCs/>
      <w:color w:val="0F4761" w:themeColor="accent1" w:themeShade="BF"/>
    </w:rPr>
  </w:style>
  <w:style w:type="character" w:styleId="IntenseReference">
    <w:name w:val="Intense Reference"/>
    <w:basedOn w:val="DefaultParagraphFont"/>
    <w:uiPriority w:val="32"/>
    <w:qFormat/>
    <w:rsid w:val="00B11BD2"/>
    <w:rPr>
      <w:b/>
      <w:bCs/>
      <w:smallCaps/>
      <w:color w:val="0F4761" w:themeColor="accent1" w:themeShade="BF"/>
      <w:spacing w:val="5"/>
    </w:rPr>
  </w:style>
  <w:style w:type="table" w:styleId="TableGrid">
    <w:name w:val="Table Grid"/>
    <w:basedOn w:val="TableNormal"/>
    <w:uiPriority w:val="39"/>
    <w:rsid w:val="006B4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6432"/>
    <w:rPr>
      <w:color w:val="467886" w:themeColor="hyperlink"/>
      <w:u w:val="single"/>
    </w:rPr>
  </w:style>
  <w:style w:type="character" w:styleId="UnresolvedMention">
    <w:name w:val="Unresolved Mention"/>
    <w:basedOn w:val="DefaultParagraphFont"/>
    <w:uiPriority w:val="99"/>
    <w:semiHidden/>
    <w:unhideWhenUsed/>
    <w:rsid w:val="00936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6784">
      <w:bodyDiv w:val="1"/>
      <w:marLeft w:val="0"/>
      <w:marRight w:val="0"/>
      <w:marTop w:val="0"/>
      <w:marBottom w:val="0"/>
      <w:divBdr>
        <w:top w:val="none" w:sz="0" w:space="0" w:color="auto"/>
        <w:left w:val="none" w:sz="0" w:space="0" w:color="auto"/>
        <w:bottom w:val="none" w:sz="0" w:space="0" w:color="auto"/>
        <w:right w:val="none" w:sz="0" w:space="0" w:color="auto"/>
      </w:divBdr>
    </w:div>
    <w:div w:id="299504151">
      <w:bodyDiv w:val="1"/>
      <w:marLeft w:val="0"/>
      <w:marRight w:val="0"/>
      <w:marTop w:val="0"/>
      <w:marBottom w:val="0"/>
      <w:divBdr>
        <w:top w:val="none" w:sz="0" w:space="0" w:color="auto"/>
        <w:left w:val="none" w:sz="0" w:space="0" w:color="auto"/>
        <w:bottom w:val="none" w:sz="0" w:space="0" w:color="auto"/>
        <w:right w:val="none" w:sz="0" w:space="0" w:color="auto"/>
      </w:divBdr>
    </w:div>
    <w:div w:id="341859652">
      <w:bodyDiv w:val="1"/>
      <w:marLeft w:val="0"/>
      <w:marRight w:val="0"/>
      <w:marTop w:val="0"/>
      <w:marBottom w:val="0"/>
      <w:divBdr>
        <w:top w:val="none" w:sz="0" w:space="0" w:color="auto"/>
        <w:left w:val="none" w:sz="0" w:space="0" w:color="auto"/>
        <w:bottom w:val="none" w:sz="0" w:space="0" w:color="auto"/>
        <w:right w:val="none" w:sz="0" w:space="0" w:color="auto"/>
      </w:divBdr>
    </w:div>
    <w:div w:id="421071816">
      <w:bodyDiv w:val="1"/>
      <w:marLeft w:val="0"/>
      <w:marRight w:val="0"/>
      <w:marTop w:val="0"/>
      <w:marBottom w:val="0"/>
      <w:divBdr>
        <w:top w:val="none" w:sz="0" w:space="0" w:color="auto"/>
        <w:left w:val="none" w:sz="0" w:space="0" w:color="auto"/>
        <w:bottom w:val="none" w:sz="0" w:space="0" w:color="auto"/>
        <w:right w:val="none" w:sz="0" w:space="0" w:color="auto"/>
      </w:divBdr>
    </w:div>
    <w:div w:id="711419186">
      <w:bodyDiv w:val="1"/>
      <w:marLeft w:val="0"/>
      <w:marRight w:val="0"/>
      <w:marTop w:val="0"/>
      <w:marBottom w:val="0"/>
      <w:divBdr>
        <w:top w:val="none" w:sz="0" w:space="0" w:color="auto"/>
        <w:left w:val="none" w:sz="0" w:space="0" w:color="auto"/>
        <w:bottom w:val="none" w:sz="0" w:space="0" w:color="auto"/>
        <w:right w:val="none" w:sz="0" w:space="0" w:color="auto"/>
      </w:divBdr>
    </w:div>
    <w:div w:id="1036348009">
      <w:bodyDiv w:val="1"/>
      <w:marLeft w:val="0"/>
      <w:marRight w:val="0"/>
      <w:marTop w:val="0"/>
      <w:marBottom w:val="0"/>
      <w:divBdr>
        <w:top w:val="none" w:sz="0" w:space="0" w:color="auto"/>
        <w:left w:val="none" w:sz="0" w:space="0" w:color="auto"/>
        <w:bottom w:val="none" w:sz="0" w:space="0" w:color="auto"/>
        <w:right w:val="none" w:sz="0" w:space="0" w:color="auto"/>
      </w:divBdr>
    </w:div>
    <w:div w:id="1091973191">
      <w:bodyDiv w:val="1"/>
      <w:marLeft w:val="0"/>
      <w:marRight w:val="0"/>
      <w:marTop w:val="0"/>
      <w:marBottom w:val="0"/>
      <w:divBdr>
        <w:top w:val="none" w:sz="0" w:space="0" w:color="auto"/>
        <w:left w:val="none" w:sz="0" w:space="0" w:color="auto"/>
        <w:bottom w:val="none" w:sz="0" w:space="0" w:color="auto"/>
        <w:right w:val="none" w:sz="0" w:space="0" w:color="auto"/>
      </w:divBdr>
    </w:div>
    <w:div w:id="1227491498">
      <w:bodyDiv w:val="1"/>
      <w:marLeft w:val="0"/>
      <w:marRight w:val="0"/>
      <w:marTop w:val="0"/>
      <w:marBottom w:val="0"/>
      <w:divBdr>
        <w:top w:val="none" w:sz="0" w:space="0" w:color="auto"/>
        <w:left w:val="none" w:sz="0" w:space="0" w:color="auto"/>
        <w:bottom w:val="none" w:sz="0" w:space="0" w:color="auto"/>
        <w:right w:val="none" w:sz="0" w:space="0" w:color="auto"/>
      </w:divBdr>
    </w:div>
    <w:div w:id="1403721034">
      <w:bodyDiv w:val="1"/>
      <w:marLeft w:val="0"/>
      <w:marRight w:val="0"/>
      <w:marTop w:val="0"/>
      <w:marBottom w:val="0"/>
      <w:divBdr>
        <w:top w:val="none" w:sz="0" w:space="0" w:color="auto"/>
        <w:left w:val="none" w:sz="0" w:space="0" w:color="auto"/>
        <w:bottom w:val="none" w:sz="0" w:space="0" w:color="auto"/>
        <w:right w:val="none" w:sz="0" w:space="0" w:color="auto"/>
      </w:divBdr>
    </w:div>
    <w:div w:id="1587377852">
      <w:bodyDiv w:val="1"/>
      <w:marLeft w:val="0"/>
      <w:marRight w:val="0"/>
      <w:marTop w:val="0"/>
      <w:marBottom w:val="0"/>
      <w:divBdr>
        <w:top w:val="none" w:sz="0" w:space="0" w:color="auto"/>
        <w:left w:val="none" w:sz="0" w:space="0" w:color="auto"/>
        <w:bottom w:val="none" w:sz="0" w:space="0" w:color="auto"/>
        <w:right w:val="none" w:sz="0" w:space="0" w:color="auto"/>
      </w:divBdr>
    </w:div>
    <w:div w:id="1817452092">
      <w:bodyDiv w:val="1"/>
      <w:marLeft w:val="0"/>
      <w:marRight w:val="0"/>
      <w:marTop w:val="0"/>
      <w:marBottom w:val="0"/>
      <w:divBdr>
        <w:top w:val="none" w:sz="0" w:space="0" w:color="auto"/>
        <w:left w:val="none" w:sz="0" w:space="0" w:color="auto"/>
        <w:bottom w:val="none" w:sz="0" w:space="0" w:color="auto"/>
        <w:right w:val="none" w:sz="0" w:space="0" w:color="auto"/>
      </w:divBdr>
    </w:div>
    <w:div w:id="204840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cq.org.uk/exams-office/access-arrangements-and-special-consideration/regulations-and-guidan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Gd846KIhEg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3a9661-7fab-410a-8059-d15952dc18ef" xsi:nil="true"/>
    <lcf76f155ced4ddcb4097134ff3c332f xmlns="186b7065-ed20-428d-aced-3549a31a69d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298BF957EDE54B91833BB677D40C66" ma:contentTypeVersion="14" ma:contentTypeDescription="Create a new document." ma:contentTypeScope="" ma:versionID="e284ef36064516dd326e7d7b0c4c62c7">
  <xsd:schema xmlns:xsd="http://www.w3.org/2001/XMLSchema" xmlns:xs="http://www.w3.org/2001/XMLSchema" xmlns:p="http://schemas.microsoft.com/office/2006/metadata/properties" xmlns:ns2="186b7065-ed20-428d-aced-3549a31a69d6" xmlns:ns3="3f3a9661-7fab-410a-8059-d15952dc18ef" targetNamespace="http://schemas.microsoft.com/office/2006/metadata/properties" ma:root="true" ma:fieldsID="719050d65876dc7043aa110b4eb99b6e" ns2:_="" ns3:_="">
    <xsd:import namespace="186b7065-ed20-428d-aced-3549a31a69d6"/>
    <xsd:import namespace="3f3a9661-7fab-410a-8059-d15952dc18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b7065-ed20-428d-aced-3549a31a6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a9661-7fab-410a-8059-d15952dc18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2410bd0-e35b-4ed3-b1ab-edc38396a1ca}" ma:internalName="TaxCatchAll" ma:showField="CatchAllData" ma:web="3f3a9661-7fab-410a-8059-d15952dc1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E765F-9FA1-4504-8B3D-47C43F12851F}">
  <ds:schemaRefs>
    <ds:schemaRef ds:uri="http://schemas.microsoft.com/office/2006/metadata/properties"/>
    <ds:schemaRef ds:uri="http://schemas.microsoft.com/office/infopath/2007/PartnerControls"/>
    <ds:schemaRef ds:uri="3f3a9661-7fab-410a-8059-d15952dc18ef"/>
    <ds:schemaRef ds:uri="186b7065-ed20-428d-aced-3549a31a69d6"/>
  </ds:schemaRefs>
</ds:datastoreItem>
</file>

<file path=customXml/itemProps2.xml><?xml version="1.0" encoding="utf-8"?>
<ds:datastoreItem xmlns:ds="http://schemas.openxmlformats.org/officeDocument/2006/customXml" ds:itemID="{603D07AD-A960-4C80-842F-D856C0000CF5}">
  <ds:schemaRefs>
    <ds:schemaRef ds:uri="http://schemas.microsoft.com/sharepoint/v3/contenttype/forms"/>
  </ds:schemaRefs>
</ds:datastoreItem>
</file>

<file path=customXml/itemProps3.xml><?xml version="1.0" encoding="utf-8"?>
<ds:datastoreItem xmlns:ds="http://schemas.openxmlformats.org/officeDocument/2006/customXml" ds:itemID="{96E699B0-5DF0-4B10-ABFD-03CE43F40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b7065-ed20-428d-aced-3549a31a69d6"/>
    <ds:schemaRef ds:uri="3f3a9661-7fab-410a-8059-d15952dc1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3387</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Gill</dc:creator>
  <cp:keywords/>
  <dc:description/>
  <cp:lastModifiedBy>DickensS</cp:lastModifiedBy>
  <cp:revision>2</cp:revision>
  <dcterms:created xsi:type="dcterms:W3CDTF">2026-10-06T08:45:00Z</dcterms:created>
  <dcterms:modified xsi:type="dcterms:W3CDTF">2026-10-06T08:45:00Z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0x0101009D298BF957EDE54B91833BB677D40C66</vt:lpwstr>
  </property>
</Properties>
</file>